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6"/>
        <w:gridCol w:w="6452"/>
      </w:tblGrid>
      <w:tr w:rsidR="007D3BB3" w:rsidRPr="00832EE8" w14:paraId="1574F929" w14:textId="77777777" w:rsidTr="006C6346">
        <w:tc>
          <w:tcPr>
            <w:tcW w:w="283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BB298" w14:textId="77777777" w:rsidR="007D3BB3" w:rsidRPr="00832EE8" w:rsidRDefault="007D3BB3" w:rsidP="006C6346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40"/>
              <w:jc w:val="center"/>
              <w:textAlignment w:val="baseline"/>
              <w:rPr>
                <w:rFonts w:eastAsia="Open Sans"/>
                <w:color w:val="auto"/>
                <w:szCs w:val="20"/>
              </w:rPr>
            </w:pPr>
            <w:bookmarkStart w:id="0" w:name="_Hlk159945759"/>
            <w:r w:rsidRPr="00832EE8">
              <w:rPr>
                <w:rFonts w:eastAsia="Open Sans"/>
                <w:noProof/>
                <w:color w:val="auto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B44DCE0" wp14:editId="1BDA782F">
                  <wp:simplePos x="0" y="0"/>
                  <wp:positionH relativeFrom="column">
                    <wp:posOffset>102960</wp:posOffset>
                  </wp:positionH>
                  <wp:positionV relativeFrom="line">
                    <wp:posOffset>120600</wp:posOffset>
                  </wp:positionV>
                  <wp:extent cx="1324080" cy="628560"/>
                  <wp:effectExtent l="0" t="0" r="9420" b="90"/>
                  <wp:wrapSquare wrapText="bothSides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080" cy="6285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52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6AE7" w14:textId="77777777" w:rsidR="007D3BB3" w:rsidRPr="00832EE8" w:rsidRDefault="007D3BB3" w:rsidP="006C6346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40"/>
              <w:jc w:val="center"/>
              <w:textAlignment w:val="baseline"/>
              <w:rPr>
                <w:rFonts w:eastAsia="Open Sans"/>
                <w:color w:val="auto"/>
                <w:szCs w:val="20"/>
              </w:rPr>
            </w:pPr>
            <w:r w:rsidRPr="00832EE8">
              <w:rPr>
                <w:rFonts w:eastAsia="Open Sans" w:cs="Calibri"/>
                <w:noProof/>
                <w:color w:val="auto"/>
                <w:szCs w:val="20"/>
              </w:rPr>
              <w:drawing>
                <wp:inline distT="0" distB="0" distL="0" distR="0" wp14:anchorId="274171D3" wp14:editId="14B881D3">
                  <wp:extent cx="3962520" cy="793800"/>
                  <wp:effectExtent l="0" t="0" r="0" b="6300"/>
                  <wp:docPr id="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520" cy="7938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750" w:rsidRPr="00832EE8" w14:paraId="6F145D1C" w14:textId="77777777" w:rsidTr="001E6750">
        <w:trPr>
          <w:trHeight w:val="1503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DD42" w14:textId="2D861DB0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Consultation N°25-0</w:t>
            </w:r>
            <w:r w:rsidR="00C51AC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62</w:t>
            </w:r>
          </w:p>
          <w:p w14:paraId="15F734E3" w14:textId="77777777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0B3799CF" w14:textId="0BF1C563" w:rsidR="001E6750" w:rsidRPr="00832EE8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32"/>
                <w:szCs w:val="32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 xml:space="preserve">Enlèvement, transport et traitement </w:t>
            </w:r>
            <w:r w:rsidR="00707D68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 xml:space="preserve">des </w:t>
            </w: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DA</w:t>
            </w:r>
            <w:r w:rsidR="00707D68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E dont DMA</w:t>
            </w:r>
          </w:p>
        </w:tc>
      </w:tr>
    </w:tbl>
    <w:bookmarkEnd w:id="0"/>
    <w:p w14:paraId="751902E9" w14:textId="5B91A033" w:rsidR="007D3BB3" w:rsidRDefault="007D3BB3" w:rsidP="007D3BB3">
      <w:pPr>
        <w:pStyle w:val="6Annex"/>
        <w:numPr>
          <w:ilvl w:val="0"/>
          <w:numId w:val="0"/>
        </w:numPr>
        <w:ind w:left="432"/>
        <w:jc w:val="both"/>
      </w:pPr>
      <w:r>
        <w:rPr>
          <w:rFonts w:ascii="Cambria" w:hAnsi="Cambria" w:cs="Cambria"/>
        </w:rPr>
        <w:t> </w:t>
      </w:r>
    </w:p>
    <w:p w14:paraId="1FFA4043" w14:textId="6EB07C22" w:rsidR="00EB7C14" w:rsidRPr="00FE21CB" w:rsidRDefault="00E97728" w:rsidP="00E97728">
      <w:pPr>
        <w:pStyle w:val="6Annex"/>
        <w:numPr>
          <w:ilvl w:val="0"/>
          <w:numId w:val="0"/>
        </w:numPr>
      </w:pPr>
      <w:r>
        <w:t>ANNEXE</w:t>
      </w:r>
      <w:r w:rsidR="00A4495F">
        <w:t xml:space="preserve"> </w:t>
      </w:r>
      <w:r w:rsidR="003603B2">
        <w:t>4</w:t>
      </w:r>
      <w:r>
        <w:rPr>
          <w:rFonts w:ascii="Cambria" w:hAnsi="Cambria" w:cs="Cambria"/>
        </w:rPr>
        <w:t> </w:t>
      </w:r>
      <w:r>
        <w:t xml:space="preserve">: </w:t>
      </w:r>
      <w:r w:rsidR="00EB7C14" w:rsidRPr="00FE21CB">
        <w:t>Cadre de réponse technique</w:t>
      </w:r>
      <w:r w:rsidR="006D0BA7">
        <w:t xml:space="preserve"> (CRT)</w:t>
      </w:r>
      <w:r w:rsidR="00A05A21">
        <w:t xml:space="preserve"> 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1E6750">
        <w:rPr>
          <w:rFonts w:eastAsia="Arial Unicode MS"/>
          <w:b/>
          <w:bCs/>
          <w:color w:val="C00000"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A0E38C" w14:textId="76E2D209" w:rsidR="00EB7C14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doit fournir un </w:t>
      </w:r>
      <w:r w:rsidR="007D3BB3">
        <w:rPr>
          <w:rFonts w:eastAsia="Arial Unicode MS"/>
        </w:rPr>
        <w:t>cadre de réponse</w:t>
      </w:r>
      <w:r w:rsidRPr="006D03B6">
        <w:rPr>
          <w:rFonts w:eastAsia="Arial Unicode MS"/>
        </w:rPr>
        <w:t xml:space="preserve"> technique</w:t>
      </w:r>
      <w:r w:rsidR="007D3BB3">
        <w:rPr>
          <w:rFonts w:eastAsia="Arial Unicode MS"/>
        </w:rPr>
        <w:t xml:space="preserve"> (CRT)</w:t>
      </w:r>
      <w:r w:rsidRPr="006D03B6">
        <w:rPr>
          <w:rFonts w:eastAsia="Arial Unicode MS"/>
        </w:rPr>
        <w:t>, pièce constitutive de leur offre pour en juger la valeur technique.</w:t>
      </w:r>
    </w:p>
    <w:p w14:paraId="7F50955F" w14:textId="517F57A5" w:rsidR="00012306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79EB1973" w14:textId="0E99C376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3BEC4316" w14:textId="40B2F19C" w:rsidR="00707D68" w:rsidRPr="00AD3870" w:rsidRDefault="00707D68" w:rsidP="00712A2F">
      <w:pPr>
        <w:spacing w:after="240"/>
        <w:rPr>
          <w:rFonts w:eastAsia="Arial Unicode MS"/>
          <w:u w:val="single"/>
        </w:rPr>
      </w:pPr>
      <w:r w:rsidRPr="00AD3870">
        <w:rPr>
          <w:rFonts w:eastAsia="Arial Unicode MS"/>
          <w:u w:val="single"/>
        </w:rPr>
        <w:t xml:space="preserve">Le contenu du CRT ne peut nullement se </w:t>
      </w:r>
      <w:r w:rsidR="00AD3870" w:rsidRPr="00AD3870">
        <w:rPr>
          <w:rFonts w:eastAsia="Arial Unicode MS"/>
          <w:u w:val="single"/>
        </w:rPr>
        <w:t>borner</w:t>
      </w:r>
      <w:r w:rsidRPr="00AD3870">
        <w:rPr>
          <w:rFonts w:eastAsia="Arial Unicode MS"/>
          <w:u w:val="single"/>
        </w:rPr>
        <w:t xml:space="preserve"> à des renvois au mémoire technique</w:t>
      </w:r>
      <w:r w:rsidR="00AD3870">
        <w:rPr>
          <w:rFonts w:eastAsia="Arial Unicode MS"/>
          <w:u w:val="single"/>
        </w:rPr>
        <w:t xml:space="preserve"> ou à des documents annexes</w:t>
      </w:r>
      <w:r w:rsidRPr="00AD3870">
        <w:rPr>
          <w:rFonts w:eastAsia="Arial Unicode MS"/>
          <w:u w:val="single"/>
        </w:rPr>
        <w:t xml:space="preserve">. </w:t>
      </w:r>
    </w:p>
    <w:p w14:paraId="5FD6F3D0" w14:textId="161F75B1" w:rsidR="00707D68" w:rsidRPr="00AD3870" w:rsidRDefault="00707D68" w:rsidP="00712A2F">
      <w:pPr>
        <w:spacing w:after="240"/>
        <w:rPr>
          <w:rFonts w:eastAsia="Arial Unicode MS"/>
          <w:u w:val="single"/>
        </w:rPr>
      </w:pPr>
      <w:r w:rsidRPr="00AD3870">
        <w:rPr>
          <w:rFonts w:eastAsia="Arial Unicode MS"/>
          <w:u w:val="single"/>
        </w:rPr>
        <w:t xml:space="preserve">Des renvois sont autorisés mais ces derniers doivent être </w:t>
      </w:r>
      <w:r w:rsidR="00AD3870">
        <w:rPr>
          <w:rFonts w:eastAsia="Arial Unicode MS"/>
          <w:u w:val="single"/>
        </w:rPr>
        <w:t>limités</w:t>
      </w:r>
      <w:r w:rsidRPr="00AD3870">
        <w:rPr>
          <w:rFonts w:eastAsia="Arial Unicode MS"/>
          <w:u w:val="single"/>
        </w:rPr>
        <w:t xml:space="preserve"> et ils doivent préciser la</w:t>
      </w:r>
      <w:r w:rsidR="00AD3870" w:rsidRPr="00AD3870">
        <w:rPr>
          <w:rFonts w:eastAsia="Arial Unicode MS"/>
          <w:u w:val="single"/>
        </w:rPr>
        <w:t xml:space="preserve"> ou les</w:t>
      </w:r>
      <w:r w:rsidRPr="00AD3870">
        <w:rPr>
          <w:rFonts w:eastAsia="Arial Unicode MS"/>
          <w:u w:val="single"/>
        </w:rPr>
        <w:t xml:space="preserve"> page</w:t>
      </w:r>
      <w:r w:rsidR="00AD3870" w:rsidRPr="00AD3870">
        <w:rPr>
          <w:rFonts w:eastAsia="Arial Unicode MS"/>
          <w:u w:val="single"/>
        </w:rPr>
        <w:t>(s)</w:t>
      </w:r>
      <w:r w:rsidRPr="00AD3870">
        <w:rPr>
          <w:rFonts w:eastAsia="Arial Unicode MS"/>
          <w:u w:val="single"/>
        </w:rPr>
        <w:t xml:space="preserve"> et le</w:t>
      </w:r>
      <w:r w:rsidR="00AD3870" w:rsidRPr="00AD3870">
        <w:rPr>
          <w:rFonts w:eastAsia="Arial Unicode MS"/>
          <w:u w:val="single"/>
        </w:rPr>
        <w:t>(s)</w:t>
      </w:r>
      <w:r w:rsidRPr="00AD3870">
        <w:rPr>
          <w:rFonts w:eastAsia="Arial Unicode MS"/>
          <w:u w:val="single"/>
        </w:rPr>
        <w:t xml:space="preserve"> paragraphe</w:t>
      </w:r>
      <w:r w:rsidR="00AD3870" w:rsidRPr="00AD3870">
        <w:rPr>
          <w:rFonts w:eastAsia="Arial Unicode MS"/>
          <w:u w:val="single"/>
        </w:rPr>
        <w:t>(s)</w:t>
      </w:r>
      <w:r w:rsidRPr="00AD3870">
        <w:rPr>
          <w:rFonts w:eastAsia="Arial Unicode MS"/>
          <w:u w:val="single"/>
        </w:rPr>
        <w:t xml:space="preserve"> du mémoire technique </w:t>
      </w:r>
      <w:r w:rsidR="00AD3870" w:rsidRPr="00AD3870">
        <w:rPr>
          <w:rFonts w:eastAsia="Arial Unicode MS"/>
          <w:u w:val="single"/>
        </w:rPr>
        <w:t xml:space="preserve">concerné(s). </w:t>
      </w:r>
    </w:p>
    <w:p w14:paraId="6110208E" w14:textId="3B4E7029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741B5348" w14:textId="0313B392" w:rsidR="00012306" w:rsidRPr="00012306" w:rsidRDefault="00012306" w:rsidP="00712A2F">
      <w:pPr>
        <w:spacing w:after="240"/>
        <w:rPr>
          <w:rFonts w:eastAsia="Arial Unicode MS"/>
        </w:rPr>
      </w:pPr>
      <w:r w:rsidRPr="00012306">
        <w:rPr>
          <w:rFonts w:eastAsia="Arial Unicode MS"/>
        </w:rPr>
        <w:t xml:space="preserve">Les </w:t>
      </w:r>
      <w:r w:rsidR="00E97728">
        <w:rPr>
          <w:rFonts w:eastAsia="Arial Unicode MS"/>
        </w:rPr>
        <w:t>c</w:t>
      </w:r>
      <w:r w:rsidRPr="00012306">
        <w:rPr>
          <w:rFonts w:eastAsia="Arial Unicode MS"/>
        </w:rPr>
        <w:t xml:space="preserve">adres de réponses techniques devront préciser en matière de </w:t>
      </w:r>
      <w:r w:rsidR="00E97728">
        <w:rPr>
          <w:rFonts w:eastAsia="Arial Unicode MS"/>
        </w:rPr>
        <w:t>matière de mise à disposition de matériel si ceux</w:t>
      </w:r>
      <w:r w:rsidRPr="00012306">
        <w:rPr>
          <w:rFonts w:eastAsia="Arial Unicode MS"/>
        </w:rPr>
        <w:t>-ci proviennent d’un pays membre de l’UE ou d’un autre pays signataire de l’accord général sur les marchés publics.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1E6750">
        <w:rPr>
          <w:rFonts w:eastAsia="Arial Unicode MS"/>
          <w:b/>
          <w:bCs/>
          <w:color w:val="auto"/>
        </w:rPr>
        <w:t xml:space="preserve">Le candidat doit signer cette annexe et porter le cachet de </w:t>
      </w:r>
      <w:r w:rsidRPr="00707D68">
        <w:rPr>
          <w:rFonts w:eastAsia="Arial Unicode MS"/>
          <w:b/>
          <w:bCs/>
          <w:color w:val="auto"/>
        </w:rPr>
        <w:t>l’entreprise.</w:t>
      </w:r>
    </w:p>
    <w:p w14:paraId="4F67726F" w14:textId="77777777" w:rsidR="00707D68" w:rsidRDefault="00707D68" w:rsidP="007D3BB3">
      <w:pPr>
        <w:jc w:val="center"/>
        <w:rPr>
          <w:rFonts w:eastAsia="Arial Unicode MS"/>
          <w:b/>
          <w:bCs/>
          <w:color w:val="C00000"/>
          <w:sz w:val="24"/>
          <w:szCs w:val="24"/>
          <w:u w:val="single"/>
        </w:rPr>
        <w:sectPr w:rsidR="00707D68" w:rsidSect="001E6750">
          <w:headerReference w:type="default" r:id="rId10"/>
          <w:footerReference w:type="default" r:id="rId11"/>
          <w:footerReference w:type="first" r:id="rId12"/>
          <w:pgSz w:w="11907" w:h="16840" w:code="9"/>
          <w:pgMar w:top="709" w:right="1418" w:bottom="1021" w:left="1418" w:header="720" w:footer="0" w:gutter="0"/>
          <w:cols w:space="720"/>
          <w:titlePg/>
          <w:docGrid w:linePitch="272"/>
        </w:sectPr>
      </w:pPr>
    </w:p>
    <w:p w14:paraId="7AC29621" w14:textId="77777777" w:rsidR="00707D68" w:rsidRDefault="00707D68" w:rsidP="007D3BB3">
      <w:pPr>
        <w:jc w:val="center"/>
        <w:rPr>
          <w:rFonts w:eastAsia="Arial Unicode MS"/>
          <w:b/>
          <w:bCs/>
          <w:color w:val="C00000"/>
          <w:sz w:val="24"/>
          <w:szCs w:val="24"/>
          <w:u w:val="single"/>
        </w:rPr>
      </w:pPr>
    </w:p>
    <w:p w14:paraId="61C1E5D7" w14:textId="4E610326" w:rsidR="00EB7C14" w:rsidRPr="001E6750" w:rsidRDefault="00EB7C14" w:rsidP="007D3BB3">
      <w:pPr>
        <w:jc w:val="center"/>
        <w:rPr>
          <w:rFonts w:eastAsia="Arial Unicode MS"/>
          <w:b/>
          <w:bCs/>
          <w:color w:val="C00000"/>
          <w:sz w:val="24"/>
          <w:szCs w:val="24"/>
        </w:rPr>
      </w:pPr>
      <w:r w:rsidRPr="001E6750">
        <w:rPr>
          <w:rFonts w:eastAsia="Arial Unicode MS"/>
          <w:b/>
          <w:bCs/>
          <w:color w:val="C00000"/>
          <w:sz w:val="24"/>
          <w:szCs w:val="24"/>
          <w:u w:val="single"/>
        </w:rPr>
        <w:t>Identification du candidat</w:t>
      </w:r>
      <w:r w:rsidRPr="001E6750">
        <w:rPr>
          <w:rFonts w:eastAsia="Arial Unicode MS"/>
          <w:b/>
          <w:bCs/>
          <w:color w:val="C00000"/>
          <w:sz w:val="24"/>
          <w:szCs w:val="24"/>
        </w:rPr>
        <w:t> :</w:t>
      </w:r>
    </w:p>
    <w:p w14:paraId="669B5FB7" w14:textId="505AA397" w:rsidR="00EB7C14" w:rsidRDefault="00EB7C14" w:rsidP="00EB7C14">
      <w:pPr>
        <w:jc w:val="left"/>
        <w:rPr>
          <w:rFonts w:eastAsia="Arial Unicode MS"/>
        </w:rPr>
      </w:pPr>
    </w:p>
    <w:p w14:paraId="0591EFDB" w14:textId="4042B478" w:rsidR="00EB7C14" w:rsidRDefault="001E6750" w:rsidP="00EB7C14">
      <w:pPr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D8EE952">
                <wp:simplePos x="0" y="0"/>
                <wp:positionH relativeFrom="margin">
                  <wp:align>right</wp:align>
                </wp:positionH>
                <wp:positionV relativeFrom="paragraph">
                  <wp:posOffset>35560</wp:posOffset>
                </wp:positionV>
                <wp:extent cx="5715000" cy="4852874"/>
                <wp:effectExtent l="19050" t="19050" r="19050" b="2413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48528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46979B7C" w:rsidR="00EB7C14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4134C0E2" w14:textId="77777777" w:rsidR="00A227F7" w:rsidRDefault="00A227F7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E73E729" w14:textId="77777777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04D085C" w14:textId="77777777" w:rsidR="00707D68" w:rsidRDefault="00707D68" w:rsidP="001E6750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0F0AC0F2" w14:textId="291185F6" w:rsidR="001E6750" w:rsidRDefault="001E6750" w:rsidP="001E675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E6750">
                              <w:rPr>
                                <w:b/>
                                <w:bCs/>
                                <w:u w:val="single"/>
                              </w:rPr>
                              <w:t>Candidat au(x) lot(s)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E675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Cocher la (ou les) case(s) utile(s)</w:t>
                            </w:r>
                            <w:r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2A98B299" w14:textId="77777777" w:rsidR="001E6750" w:rsidRDefault="001E6750" w:rsidP="001E675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F085147" w14:textId="3552ADAE" w:rsidR="001E6750" w:rsidRDefault="00087100" w:rsidP="001E6750">
                            <w:pPr>
                              <w:ind w:left="284" w:hanging="284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4927070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01</w:t>
                            </w:r>
                            <w:r w:rsidR="001E6750" w:rsidRPr="001E6750">
                              <w:t xml:space="preserve"> - </w:t>
                            </w:r>
                            <w:r w:rsidR="00707D68">
                              <w:t xml:space="preserve">Enlèvement, transport et traitement des Déchets d’Activités Économiques (DAE) non dangereux, dont les Déchets Ménagers et Assimilés (DMA), pour les GHU </w:t>
                            </w:r>
                            <w:proofErr w:type="spellStart"/>
                            <w:r w:rsidR="00707D68">
                              <w:t>APHP.Hôpitaux</w:t>
                            </w:r>
                            <w:proofErr w:type="spellEnd"/>
                            <w:r w:rsidR="00707D68">
                              <w:t xml:space="preserve"> Universitaire Paris Seine Saint Denis et APHP. Nord-Université Paris Cité</w:t>
                            </w:r>
                          </w:p>
                          <w:p w14:paraId="39AAC694" w14:textId="77777777" w:rsidR="001E6750" w:rsidRDefault="001E6750" w:rsidP="001E6750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</w:p>
                          <w:p w14:paraId="18A2C364" w14:textId="06FEBA21" w:rsidR="001E6750" w:rsidRDefault="00087100" w:rsidP="001E6750">
                            <w:pPr>
                              <w:ind w:left="284" w:hanging="284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4311607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02</w:t>
                            </w:r>
                            <w:r w:rsidR="001E6750" w:rsidRPr="001E6750">
                              <w:t xml:space="preserve"> - </w:t>
                            </w:r>
                            <w:r w:rsidR="00707D68">
                              <w:t xml:space="preserve">Enlèvement, transport et traitement des Déchets d’Activités Économiques (DAE) non dangereux, dont les Déchets Ménagers et Assimilés (DMA), les GHU </w:t>
                            </w:r>
                            <w:proofErr w:type="spellStart"/>
                            <w:r w:rsidR="00707D68">
                              <w:t>APHP.Université</w:t>
                            </w:r>
                            <w:proofErr w:type="spellEnd"/>
                            <w:r w:rsidR="00707D68">
                              <w:t xml:space="preserve"> de Paris-Saclay et </w:t>
                            </w:r>
                            <w:proofErr w:type="spellStart"/>
                            <w:r w:rsidR="00707D68">
                              <w:t>APHP.Hôpitaux</w:t>
                            </w:r>
                            <w:proofErr w:type="spellEnd"/>
                            <w:r w:rsidR="00707D68">
                              <w:t xml:space="preserve"> Universitaires Henri-Mondor</w:t>
                            </w:r>
                          </w:p>
                          <w:p w14:paraId="0CC22298" w14:textId="77777777" w:rsidR="00707D68" w:rsidRDefault="00707D68" w:rsidP="001E6750">
                            <w:pPr>
                              <w:ind w:left="284" w:hanging="284"/>
                            </w:pPr>
                          </w:p>
                          <w:p w14:paraId="5C6968A1" w14:textId="35AF06B1" w:rsidR="001E6750" w:rsidRDefault="00087100" w:rsidP="00A227F7">
                            <w:pPr>
                              <w:ind w:left="284" w:hanging="284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7878927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03</w:t>
                            </w:r>
                            <w:r w:rsidR="001E6750" w:rsidRPr="001E6750">
                              <w:t xml:space="preserve"> - </w:t>
                            </w:r>
                            <w:r w:rsidR="00707D68">
                              <w:t xml:space="preserve">Enlèvement, transport et traitement des Déchets d’Activités Économiques (DAE) non dangereux, dont les Déchets Ménagers et Assimilés (DMA), pour le GHU </w:t>
                            </w:r>
                            <w:proofErr w:type="spellStart"/>
                            <w:r w:rsidR="00707D68">
                              <w:t>APHP.Sorbonne</w:t>
                            </w:r>
                            <w:proofErr w:type="spellEnd"/>
                            <w:r w:rsidR="00707D68">
                              <w:t xml:space="preserve"> Université, les pôles d’intérêt commun et l’Hospitalisation A Domicile</w:t>
                            </w:r>
                          </w:p>
                          <w:p w14:paraId="7A86CBA6" w14:textId="203F940C" w:rsidR="00E97728" w:rsidRDefault="00E97728" w:rsidP="00A227F7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</w:p>
                          <w:p w14:paraId="4B44FDB9" w14:textId="7E44FF25" w:rsidR="00E97728" w:rsidRDefault="00087100" w:rsidP="00E97728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09952544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9772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E9772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E97728">
                              <w:rPr>
                                <w:b/>
                                <w:bCs/>
                              </w:rPr>
                              <w:tab/>
                            </w:r>
                            <w:r w:rsidR="00E97728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E97728">
                              <w:rPr>
                                <w:b/>
                                <w:bCs/>
                              </w:rPr>
                              <w:t>4</w:t>
                            </w:r>
                            <w:r w:rsidR="00E97728" w:rsidRPr="001E6750">
                              <w:t xml:space="preserve"> - </w:t>
                            </w:r>
                            <w:r w:rsidR="00707D68">
                              <w:t xml:space="preserve">Enlèvement, transport et traitement des Déchets d’Activités Économiques (DAE) non dangereux, dont les Déchets Ménagers et Assimilés (DMA), pour le GHU </w:t>
                            </w:r>
                            <w:proofErr w:type="spellStart"/>
                            <w:r w:rsidR="00707D68">
                              <w:t>APHP.Centre-Université</w:t>
                            </w:r>
                            <w:proofErr w:type="spellEnd"/>
                            <w:r w:rsidR="00707D68">
                              <w:t xml:space="preserve"> de Paris Cité et l’Agence générale des équipements et produits de santé</w:t>
                            </w:r>
                          </w:p>
                          <w:p w14:paraId="421F43D6" w14:textId="77777777" w:rsidR="00E97728" w:rsidRDefault="00E97728" w:rsidP="00A227F7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</w:p>
                          <w:p w14:paraId="6EEC6E24" w14:textId="16065B37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CE5FDC3" w14:textId="330966CF" w:rsidR="00707D68" w:rsidRDefault="00707D68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Le candidat coche lot le auquel se rapporte le CRT.</w:t>
                            </w:r>
                          </w:p>
                          <w:p w14:paraId="0AB9E686" w14:textId="262FB00D" w:rsidR="00707D68" w:rsidRDefault="00707D68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E81AE41" w14:textId="067DF44B" w:rsidR="00707D68" w:rsidRDefault="00707D68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Plusieurs cases peuvent être cochées si le contenu du CRT se rapporte auxdits lots. </w:t>
                            </w:r>
                          </w:p>
                          <w:p w14:paraId="0F2258F7" w14:textId="33BBBA73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3EC9988" w14:textId="77777777" w:rsidR="001E6750" w:rsidRPr="00C53A75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98.8pt;margin-top:2.8pt;width:450pt;height:382.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46979B7C" w:rsidR="00EB7C14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4134C0E2" w14:textId="77777777" w:rsidR="00A227F7" w:rsidRDefault="00A227F7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E73E729" w14:textId="77777777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204D085C" w14:textId="77777777" w:rsidR="00707D68" w:rsidRDefault="00707D68" w:rsidP="001E6750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0F0AC0F2" w14:textId="291185F6" w:rsidR="001E6750" w:rsidRDefault="001E6750" w:rsidP="001E6750">
                      <w:pPr>
                        <w:rPr>
                          <w:b/>
                          <w:bCs/>
                        </w:rPr>
                      </w:pPr>
                      <w:r w:rsidRPr="001E6750">
                        <w:rPr>
                          <w:b/>
                          <w:bCs/>
                          <w:u w:val="single"/>
                        </w:rPr>
                        <w:t>Candidat au(x) lot(s)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1E6750">
                        <w:rPr>
                          <w:i/>
                          <w:iCs/>
                          <w:sz w:val="16"/>
                          <w:szCs w:val="16"/>
                        </w:rPr>
                        <w:t>Cocher la (ou les) case(s) utile(s)</w:t>
                      </w:r>
                      <w:r>
                        <w:rPr>
                          <w:b/>
                          <w:bCs/>
                        </w:rPr>
                        <w:t> :</w:t>
                      </w:r>
                    </w:p>
                    <w:p w14:paraId="2A98B299" w14:textId="77777777" w:rsidR="001E6750" w:rsidRDefault="001E6750" w:rsidP="001E6750">
                      <w:pPr>
                        <w:rPr>
                          <w:b/>
                          <w:bCs/>
                        </w:rPr>
                      </w:pPr>
                    </w:p>
                    <w:p w14:paraId="3F085147" w14:textId="3552ADAE" w:rsidR="001E6750" w:rsidRDefault="00AD3870" w:rsidP="001E6750">
                      <w:pPr>
                        <w:ind w:left="284" w:hanging="284"/>
                      </w:pPr>
                      <w:sdt>
                        <w:sdtPr>
                          <w:rPr>
                            <w:b/>
                            <w:bCs/>
                          </w:rPr>
                          <w:id w:val="-14927070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01</w:t>
                      </w:r>
                      <w:r w:rsidR="001E6750" w:rsidRPr="001E6750">
                        <w:t xml:space="preserve"> - </w:t>
                      </w:r>
                      <w:r w:rsidR="00707D68">
                        <w:t xml:space="preserve">Enlèvement, transport et traitement des Déchets d’Activités Économiques (DAE) non dangereux, dont les Déchets Ménagers et Assimilés (DMA), pour les GHU </w:t>
                      </w:r>
                      <w:proofErr w:type="spellStart"/>
                      <w:r w:rsidR="00707D68">
                        <w:t>APHP.Hôpitaux</w:t>
                      </w:r>
                      <w:proofErr w:type="spellEnd"/>
                      <w:r w:rsidR="00707D68">
                        <w:t xml:space="preserve"> Universitaire Paris Seine Saint Denis et APHP. Nord-Université Paris Cité</w:t>
                      </w:r>
                    </w:p>
                    <w:p w14:paraId="39AAC694" w14:textId="77777777" w:rsidR="001E6750" w:rsidRDefault="001E6750" w:rsidP="001E6750">
                      <w:pPr>
                        <w:ind w:left="284" w:hanging="284"/>
                        <w:rPr>
                          <w:b/>
                          <w:bCs/>
                        </w:rPr>
                      </w:pPr>
                    </w:p>
                    <w:p w14:paraId="18A2C364" w14:textId="06FEBA21" w:rsidR="001E6750" w:rsidRDefault="00AD3870" w:rsidP="001E6750">
                      <w:pPr>
                        <w:ind w:left="284" w:hanging="284"/>
                      </w:pPr>
                      <w:sdt>
                        <w:sdtPr>
                          <w:rPr>
                            <w:b/>
                            <w:bCs/>
                          </w:rPr>
                          <w:id w:val="4311607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02</w:t>
                      </w:r>
                      <w:r w:rsidR="001E6750" w:rsidRPr="001E6750">
                        <w:t xml:space="preserve"> - </w:t>
                      </w:r>
                      <w:r w:rsidR="00707D68">
                        <w:t xml:space="preserve">Enlèvement, transport et traitement des Déchets d’Activités Économiques (DAE) non dangereux, dont les Déchets Ménagers et Assimilés (DMA), les GHU </w:t>
                      </w:r>
                      <w:proofErr w:type="spellStart"/>
                      <w:r w:rsidR="00707D68">
                        <w:t>APHP.Université</w:t>
                      </w:r>
                      <w:proofErr w:type="spellEnd"/>
                      <w:r w:rsidR="00707D68">
                        <w:t xml:space="preserve"> de Paris-Saclay et </w:t>
                      </w:r>
                      <w:proofErr w:type="spellStart"/>
                      <w:r w:rsidR="00707D68">
                        <w:t>APHP.Hôpitaux</w:t>
                      </w:r>
                      <w:proofErr w:type="spellEnd"/>
                      <w:r w:rsidR="00707D68">
                        <w:t xml:space="preserve"> Universitaires Henri-Mondor</w:t>
                      </w:r>
                    </w:p>
                    <w:p w14:paraId="0CC22298" w14:textId="77777777" w:rsidR="00707D68" w:rsidRDefault="00707D68" w:rsidP="001E6750">
                      <w:pPr>
                        <w:ind w:left="284" w:hanging="284"/>
                      </w:pPr>
                    </w:p>
                    <w:p w14:paraId="5C6968A1" w14:textId="35AF06B1" w:rsidR="001E6750" w:rsidRDefault="00AD3870" w:rsidP="00A227F7">
                      <w:pPr>
                        <w:ind w:left="284" w:hanging="284"/>
                      </w:pPr>
                      <w:sdt>
                        <w:sdtPr>
                          <w:rPr>
                            <w:b/>
                            <w:bCs/>
                          </w:rPr>
                          <w:id w:val="-17878927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03</w:t>
                      </w:r>
                      <w:r w:rsidR="001E6750" w:rsidRPr="001E6750">
                        <w:t xml:space="preserve"> - </w:t>
                      </w:r>
                      <w:r w:rsidR="00707D68">
                        <w:t xml:space="preserve">Enlèvement, transport et traitement des Déchets d’Activités Économiques (DAE) non dangereux, dont les Déchets Ménagers et Assimilés (DMA), pour le GHU </w:t>
                      </w:r>
                      <w:proofErr w:type="spellStart"/>
                      <w:r w:rsidR="00707D68">
                        <w:t>APHP.Sorbonne</w:t>
                      </w:r>
                      <w:proofErr w:type="spellEnd"/>
                      <w:r w:rsidR="00707D68">
                        <w:t xml:space="preserve"> Université, les pôles d’intérêt commun et l’Hospitalisation A Domicile</w:t>
                      </w:r>
                    </w:p>
                    <w:p w14:paraId="7A86CBA6" w14:textId="203F940C" w:rsidR="00E97728" w:rsidRDefault="00E97728" w:rsidP="00A227F7">
                      <w:pPr>
                        <w:ind w:left="284" w:hanging="284"/>
                        <w:rPr>
                          <w:b/>
                          <w:bCs/>
                        </w:rPr>
                      </w:pPr>
                    </w:p>
                    <w:p w14:paraId="4B44FDB9" w14:textId="7E44FF25" w:rsidR="00E97728" w:rsidRDefault="00E97728" w:rsidP="00E97728">
                      <w:pPr>
                        <w:ind w:left="284" w:hanging="284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109952544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 w:rsidRPr="001E6750">
                        <w:rPr>
                          <w:b/>
                          <w:bCs/>
                        </w:rPr>
                        <w:t>0</w:t>
                      </w:r>
                      <w:r>
                        <w:rPr>
                          <w:b/>
                          <w:bCs/>
                        </w:rPr>
                        <w:t>4</w:t>
                      </w:r>
                      <w:r w:rsidRPr="001E6750">
                        <w:t xml:space="preserve"> - </w:t>
                      </w:r>
                      <w:r w:rsidR="00707D68">
                        <w:t xml:space="preserve">Enlèvement, transport et traitement des Déchets d’Activités Économiques (DAE) non dangereux, dont les Déchets Ménagers et Assimilés (DMA), pour le GHU </w:t>
                      </w:r>
                      <w:proofErr w:type="spellStart"/>
                      <w:r w:rsidR="00707D68">
                        <w:t>APHP.Centre-Université</w:t>
                      </w:r>
                      <w:proofErr w:type="spellEnd"/>
                      <w:r w:rsidR="00707D68">
                        <w:t xml:space="preserve"> de Paris Cité et l’Agence générale des équipements et produits de santé</w:t>
                      </w:r>
                    </w:p>
                    <w:p w14:paraId="421F43D6" w14:textId="77777777" w:rsidR="00E97728" w:rsidRDefault="00E97728" w:rsidP="00A227F7">
                      <w:pPr>
                        <w:ind w:left="284" w:hanging="284"/>
                        <w:rPr>
                          <w:b/>
                          <w:bCs/>
                        </w:rPr>
                      </w:pPr>
                    </w:p>
                    <w:p w14:paraId="6EEC6E24" w14:textId="16065B37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0CE5FDC3" w14:textId="330966CF" w:rsidR="00707D68" w:rsidRDefault="00707D68" w:rsidP="00EB7C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Le candidat coche lot le auquel se rapporte le CRT.</w:t>
                      </w:r>
                    </w:p>
                    <w:p w14:paraId="0AB9E686" w14:textId="262FB00D" w:rsidR="00707D68" w:rsidRDefault="00707D68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0E81AE41" w14:textId="067DF44B" w:rsidR="00707D68" w:rsidRDefault="00707D68" w:rsidP="00EB7C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Plusieurs cases peuvent être cochées si le contenu du CRT se rapporte auxdits lots. </w:t>
                      </w:r>
                    </w:p>
                    <w:p w14:paraId="0F2258F7" w14:textId="33BBBA73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43EC9988" w14:textId="77777777" w:rsidR="001E6750" w:rsidRPr="00C53A75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96725" w14:textId="6E59F739" w:rsidR="00EB7C14" w:rsidRPr="007D3BB3" w:rsidRDefault="00EB7C14" w:rsidP="007D3BB3">
      <w:pPr>
        <w:jc w:val="left"/>
        <w:rPr>
          <w:rFonts w:eastAsia="Arial Unicode MS"/>
        </w:rPr>
        <w:sectPr w:rsidR="00EB7C14" w:rsidRPr="007D3BB3" w:rsidSect="001E6750">
          <w:pgSz w:w="11907" w:h="16840" w:code="9"/>
          <w:pgMar w:top="709" w:right="1418" w:bottom="1021" w:left="1418" w:header="720" w:footer="0" w:gutter="0"/>
          <w:cols w:space="720"/>
          <w:titlePg/>
          <w:docGrid w:linePitch="272"/>
        </w:sectPr>
      </w:pPr>
    </w:p>
    <w:p w14:paraId="0615F6F6" w14:textId="7BCAA56F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>Qualité technique</w:t>
      </w:r>
      <w:r w:rsidR="006F4A44">
        <w:rPr>
          <w:rFonts w:eastAsia="Arial Unicode MS"/>
          <w:b/>
          <w:bCs/>
          <w:sz w:val="22"/>
          <w:szCs w:val="22"/>
          <w:u w:val="single"/>
        </w:rPr>
        <w:t xml:space="preserve"> de l’offre</w:t>
      </w:r>
      <w:r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1E6750">
        <w:rPr>
          <w:rFonts w:eastAsia="Arial Unicode MS"/>
          <w:b/>
          <w:bCs/>
          <w:sz w:val="22"/>
          <w:szCs w:val="22"/>
          <w:u w:val="single"/>
        </w:rPr>
        <w:t>4</w:t>
      </w:r>
      <w:r w:rsidR="006D0BA7">
        <w:rPr>
          <w:rFonts w:eastAsia="Arial Unicode MS"/>
          <w:b/>
          <w:bCs/>
          <w:sz w:val="22"/>
          <w:szCs w:val="22"/>
          <w:u w:val="single"/>
        </w:rPr>
        <w:t>0%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61D78A34" w14:textId="77FA1F5F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</w:t>
      </w:r>
      <w:r w:rsidR="00E97728">
        <w:rPr>
          <w:rFonts w:eastAsia="Arial Unicode MS"/>
        </w:rPr>
        <w:t>de</w:t>
      </w:r>
      <w:r w:rsidRPr="006D03B6">
        <w:rPr>
          <w:rFonts w:eastAsia="Arial Unicode MS"/>
        </w:rPr>
        <w:t xml:space="preserve"> sous-critères, eux-mêmes divisés en différents </w:t>
      </w:r>
      <w:r w:rsidR="00712A2F"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6747ECE6" w:rsidR="001A3687" w:rsidRPr="000334B8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="00E97728">
        <w:rPr>
          <w:rFonts w:eastAsia="Arial Unicode MS"/>
          <w:b/>
          <w:bCs/>
          <w:i/>
          <w:iCs/>
          <w:sz w:val="20"/>
          <w:szCs w:val="20"/>
          <w:u w:val="single"/>
        </w:rPr>
        <w:t>mise à disposition pour l’exécution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2064D0">
        <w:rPr>
          <w:rFonts w:eastAsia="Arial Unicode MS"/>
          <w:b/>
          <w:bCs/>
          <w:i/>
          <w:iCs/>
          <w:sz w:val="20"/>
          <w:szCs w:val="20"/>
          <w:u w:val="single"/>
        </w:rPr>
        <w:t>1</w:t>
      </w:r>
      <w:r w:rsidR="00707D68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32FCD292" w14:textId="03A2A0A3" w:rsidR="005D3C24" w:rsidRDefault="005D3C24" w:rsidP="008E7545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8E7545" w14:paraId="62746050" w14:textId="77777777" w:rsidTr="008E7545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5955A03A" w14:textId="6C894D71" w:rsidR="008E7545" w:rsidRPr="008E7545" w:rsidRDefault="008E7545" w:rsidP="008E7545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44F0BC4B" w14:textId="65DC22E6" w:rsidR="008E7545" w:rsidRPr="008E7545" w:rsidRDefault="008E7545" w:rsidP="008E7545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E97728" w14:paraId="68F6C386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259FB973" w14:textId="7C99FA5D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Nombre de chauffeurs et personnels dédiés à l'enlèvement et au transport des déchets</w:t>
            </w:r>
          </w:p>
        </w:tc>
        <w:tc>
          <w:tcPr>
            <w:tcW w:w="6656" w:type="dxa"/>
            <w:vAlign w:val="center"/>
          </w:tcPr>
          <w:p w14:paraId="7B9A4930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00673993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5DB7ED14" w14:textId="79B3B243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Formation et expérience des chauffeurs mis à disposition</w:t>
            </w:r>
          </w:p>
        </w:tc>
        <w:tc>
          <w:tcPr>
            <w:tcW w:w="6656" w:type="dxa"/>
            <w:vAlign w:val="center"/>
          </w:tcPr>
          <w:p w14:paraId="740F0CB4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5C21F3FE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13186A56" w14:textId="61440F48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Composition et rôle de l'équipe d'encadrement dédiée (contrôle, suivi, planification, etc…)</w:t>
            </w:r>
          </w:p>
        </w:tc>
        <w:tc>
          <w:tcPr>
            <w:tcW w:w="6656" w:type="dxa"/>
            <w:vAlign w:val="center"/>
          </w:tcPr>
          <w:p w14:paraId="2AB425FC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2F7E1A95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1D9A3336" w14:textId="48354FFE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Expérience et formation des membres de l'équipe d'encadrement dédie</w:t>
            </w:r>
          </w:p>
        </w:tc>
        <w:tc>
          <w:tcPr>
            <w:tcW w:w="6656" w:type="dxa"/>
            <w:vAlign w:val="center"/>
          </w:tcPr>
          <w:p w14:paraId="3FAB7396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49CFAF7B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3B0FF064" w14:textId="08BC7BBF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 xml:space="preserve">Qualité et expérience des moyens humains affectés au suivi et </w:t>
            </w:r>
            <w:proofErr w:type="spellStart"/>
            <w:r w:rsidRPr="00E97728">
              <w:rPr>
                <w:b/>
                <w:bCs/>
              </w:rPr>
              <w:t>reporting</w:t>
            </w:r>
            <w:proofErr w:type="spellEnd"/>
            <w:r w:rsidRPr="00E97728">
              <w:rPr>
                <w:b/>
                <w:bCs/>
              </w:rPr>
              <w:t xml:space="preserve"> des prestations</w:t>
            </w:r>
          </w:p>
        </w:tc>
        <w:tc>
          <w:tcPr>
            <w:tcW w:w="6656" w:type="dxa"/>
            <w:vAlign w:val="center"/>
          </w:tcPr>
          <w:p w14:paraId="6D860737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72D17E88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5ED555A6" w14:textId="639B47C8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Qualité et expérience des moyens humains en charge des ateliers d’animation</w:t>
            </w:r>
          </w:p>
        </w:tc>
        <w:tc>
          <w:tcPr>
            <w:tcW w:w="6656" w:type="dxa"/>
            <w:vAlign w:val="center"/>
          </w:tcPr>
          <w:p w14:paraId="3943A303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2B120A3C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13CE9ED9" w14:textId="2A297507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Tenues de travail, identification du personnel et équipements de protection individuelle</w:t>
            </w:r>
          </w:p>
        </w:tc>
        <w:tc>
          <w:tcPr>
            <w:tcW w:w="6656" w:type="dxa"/>
            <w:vAlign w:val="center"/>
          </w:tcPr>
          <w:p w14:paraId="78B0A0B4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7F689AD9" w14:textId="77777777" w:rsidR="005D3C24" w:rsidRDefault="005D3C2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3CA363C9" w14:textId="57409DF9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Moyens techniques et matériels proposés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15%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6337ED4F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0BDA2415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397E0FD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49F3C54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E97728" w14:paraId="6702FFAE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633FFD5C" w14:textId="77777777" w:rsidR="00E97728" w:rsidRDefault="00E97728" w:rsidP="00E97728">
            <w:pPr>
              <w:jc w:val="left"/>
              <w:rPr>
                <w:b/>
                <w:bCs/>
              </w:rPr>
            </w:pPr>
            <w:r w:rsidRPr="00E97728">
              <w:rPr>
                <w:b/>
                <w:bCs/>
              </w:rPr>
              <w:t xml:space="preserve">Qualité des matériels et fournitures proposés (catégories et tailles de compacteurs et bennes). </w:t>
            </w:r>
          </w:p>
          <w:p w14:paraId="4AA6EAA2" w14:textId="6C46628F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707D68">
              <w:rPr>
                <w:color w:val="auto"/>
              </w:rPr>
              <w:t>Les fiches techniques sont à fournir</w:t>
            </w:r>
          </w:p>
        </w:tc>
        <w:tc>
          <w:tcPr>
            <w:tcW w:w="6656" w:type="dxa"/>
            <w:vAlign w:val="center"/>
          </w:tcPr>
          <w:p w14:paraId="00841AC1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3FE87760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79179E6F" w14:textId="3920F982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Moyens alternatifs temporaires proposés par le titulaire pour la collecte des déchets en période de panne du matériel</w:t>
            </w:r>
          </w:p>
        </w:tc>
        <w:tc>
          <w:tcPr>
            <w:tcW w:w="6656" w:type="dxa"/>
            <w:vAlign w:val="center"/>
          </w:tcPr>
          <w:p w14:paraId="1A260708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41EB12BC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543883ED" w14:textId="39DA5A3B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 xml:space="preserve">Modalités d'entretien et de maintenance du matériel mis à disposition (fréquence, périodicité, etc.) </w:t>
            </w:r>
          </w:p>
        </w:tc>
        <w:tc>
          <w:tcPr>
            <w:tcW w:w="6656" w:type="dxa"/>
            <w:vAlign w:val="center"/>
          </w:tcPr>
          <w:p w14:paraId="172A0413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3C0BC753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723A9B39" w14:textId="70918C91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 xml:space="preserve">Nombre de véhicules dédiés à l'exécution des prestations et description des véhicules </w:t>
            </w:r>
          </w:p>
        </w:tc>
        <w:tc>
          <w:tcPr>
            <w:tcW w:w="6656" w:type="dxa"/>
            <w:vAlign w:val="center"/>
          </w:tcPr>
          <w:p w14:paraId="4D61CD3F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5BEE67F7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2AEA8209" w14:textId="655C31E7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Modalités d'entretien et de maintenance des véhicules dédiés à l'exécution des prestations</w:t>
            </w:r>
          </w:p>
        </w:tc>
        <w:tc>
          <w:tcPr>
            <w:tcW w:w="6656" w:type="dxa"/>
            <w:vAlign w:val="center"/>
          </w:tcPr>
          <w:p w14:paraId="018B66AB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153E190A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64175143" w14:textId="3DF49D61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Flotte à disposition en cas de panne d'un véhicule ou autres moyens mis en place pour pallier ces pannes</w:t>
            </w:r>
          </w:p>
        </w:tc>
        <w:tc>
          <w:tcPr>
            <w:tcW w:w="6656" w:type="dxa"/>
            <w:vAlign w:val="center"/>
          </w:tcPr>
          <w:p w14:paraId="6D95572C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0A535766" w14:textId="77777777" w:rsidR="006F4A44" w:rsidRDefault="006F4A44" w:rsidP="006F4A4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49603495" w14:textId="4A6A9ACC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Organisation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="00707D68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0ACE26F4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151D0E39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1B9048E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51F091FA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E97728" w14:paraId="3D1674B6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6B7517D" w14:textId="4DC761ED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Procédures de gestion des déchets (de l'enlèvement au traitement final) pour chaque filière de déchets</w:t>
            </w:r>
          </w:p>
        </w:tc>
        <w:tc>
          <w:tcPr>
            <w:tcW w:w="6656" w:type="dxa"/>
            <w:vAlign w:val="center"/>
          </w:tcPr>
          <w:p w14:paraId="11BDE568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39A06B47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5A0A8CA" w14:textId="4C513F84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 xml:space="preserve">Modalités de prise en charge des demandes d’enlèvements programmées ou ponctuelles </w:t>
            </w:r>
          </w:p>
        </w:tc>
        <w:tc>
          <w:tcPr>
            <w:tcW w:w="6656" w:type="dxa"/>
            <w:vAlign w:val="center"/>
          </w:tcPr>
          <w:p w14:paraId="7F77FFE2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47B93B2C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6EA7ED21" w14:textId="356A3ABB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 xml:space="preserve">Outil proposé pour le suivi de chargement des compacteurs et optimiser l'enlèvement des déchets </w:t>
            </w:r>
          </w:p>
        </w:tc>
        <w:tc>
          <w:tcPr>
            <w:tcW w:w="6656" w:type="dxa"/>
            <w:vAlign w:val="center"/>
          </w:tcPr>
          <w:p w14:paraId="3B410067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0B6253C6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281FD2F7" w14:textId="2BBEDCF8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Accompagnement des sites au développement de nouvelles filières</w:t>
            </w:r>
          </w:p>
        </w:tc>
        <w:tc>
          <w:tcPr>
            <w:tcW w:w="6656" w:type="dxa"/>
            <w:vAlign w:val="center"/>
          </w:tcPr>
          <w:p w14:paraId="67ED083F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043D59F5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F5BB9B4" w14:textId="77777777" w:rsidR="00E97728" w:rsidRDefault="00E97728" w:rsidP="00E97728">
            <w:pPr>
              <w:jc w:val="left"/>
              <w:rPr>
                <w:b/>
                <w:bCs/>
              </w:rPr>
            </w:pPr>
            <w:r w:rsidRPr="00E97728">
              <w:rPr>
                <w:b/>
                <w:bCs/>
              </w:rPr>
              <w:t>Plan de continuité d'activité</w:t>
            </w:r>
          </w:p>
          <w:p w14:paraId="6C4A290D" w14:textId="586C261A" w:rsidR="00707D68" w:rsidRPr="00707D68" w:rsidRDefault="00707D68" w:rsidP="00E97728">
            <w:pPr>
              <w:jc w:val="left"/>
              <w:rPr>
                <w:rFonts w:eastAsia="Arial Unicode MS"/>
              </w:rPr>
            </w:pPr>
            <w:r>
              <w:t>(</w:t>
            </w:r>
            <w:proofErr w:type="gramStart"/>
            <w:r>
              <w:t>fournir</w:t>
            </w:r>
            <w:proofErr w:type="gramEnd"/>
            <w:r>
              <w:t xml:space="preserve"> un exemple)</w:t>
            </w:r>
          </w:p>
        </w:tc>
        <w:tc>
          <w:tcPr>
            <w:tcW w:w="6656" w:type="dxa"/>
            <w:vAlign w:val="center"/>
          </w:tcPr>
          <w:p w14:paraId="7415D29A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71258AA7" w14:textId="77777777" w:rsidR="006F4A44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7E45486" w14:textId="66565D27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bookmarkStart w:id="1" w:name="_Hlk194919562"/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E97728">
        <w:rPr>
          <w:rFonts w:eastAsia="Arial Unicode MS"/>
          <w:b/>
          <w:bCs/>
          <w:i/>
          <w:iCs/>
          <w:sz w:val="20"/>
          <w:szCs w:val="20"/>
          <w:u w:val="single"/>
        </w:rPr>
        <w:t>Modalités de t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raitement des déchets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30%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4D8B59CB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2A9DFD5D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60094AA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0F542862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E97728" w14:paraId="6122E477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A0D9063" w14:textId="21299511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Méthode(s) de traitement des déchets selon les filières dot OMR avec précision de la localisation des exutoires</w:t>
            </w:r>
          </w:p>
        </w:tc>
        <w:tc>
          <w:tcPr>
            <w:tcW w:w="6656" w:type="dxa"/>
            <w:vAlign w:val="center"/>
          </w:tcPr>
          <w:p w14:paraId="4568D0E6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056A62E4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2A38C10" w14:textId="1BADACF6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 xml:space="preserve">Description du procédé de traitement et de la chaine de traitement à partir de la collecte des déchets sur site </w:t>
            </w:r>
          </w:p>
        </w:tc>
        <w:tc>
          <w:tcPr>
            <w:tcW w:w="6656" w:type="dxa"/>
            <w:vAlign w:val="center"/>
          </w:tcPr>
          <w:p w14:paraId="27410BB2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4B28E171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5D607348" w14:textId="21FA28B5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lastRenderedPageBreak/>
              <w:t xml:space="preserve">Modalités de pesée, de déclassement et en cas déclenchement de la borne de détection de la radioactivité à l’exutoire et justificatifs de conformité </w:t>
            </w:r>
          </w:p>
        </w:tc>
        <w:tc>
          <w:tcPr>
            <w:tcW w:w="6656" w:type="dxa"/>
            <w:vAlign w:val="center"/>
          </w:tcPr>
          <w:p w14:paraId="583382AC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bookmarkEnd w:id="1"/>
    </w:tbl>
    <w:p w14:paraId="343A23FE" w14:textId="142BB9E6" w:rsidR="001A3687" w:rsidRDefault="001A3687" w:rsidP="001A3687">
      <w:pPr>
        <w:rPr>
          <w:rFonts w:eastAsia="Arial Unicode MS"/>
        </w:rPr>
      </w:pPr>
    </w:p>
    <w:p w14:paraId="312DAB83" w14:textId="66F5AAFF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e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Gestion des situations exceptionnelles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40198513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5C07E5F5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E13047E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AA02067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E97728" w14:paraId="18D890F8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60DE057" w14:textId="55B212F2" w:rsidR="00E97728" w:rsidRPr="008E7545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Organisation en cas de situations particulières et exceptionnelles</w:t>
            </w:r>
            <w:r w:rsidRPr="00235AD1">
              <w:t xml:space="preserve"> (grèves, intempéries, etc.)</w:t>
            </w:r>
          </w:p>
        </w:tc>
        <w:tc>
          <w:tcPr>
            <w:tcW w:w="6656" w:type="dxa"/>
            <w:vAlign w:val="center"/>
          </w:tcPr>
          <w:p w14:paraId="4D643881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35D768E5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473E4758" w14:textId="789C786A" w:rsidR="00E97728" w:rsidRPr="006F4A44" w:rsidRDefault="00E97728" w:rsidP="00E97728">
            <w:pPr>
              <w:jc w:val="left"/>
              <w:rPr>
                <w:rFonts w:eastAsia="Arial Unicode MS"/>
              </w:rPr>
            </w:pPr>
            <w:r w:rsidRPr="00E97728">
              <w:rPr>
                <w:b/>
                <w:bCs/>
              </w:rPr>
              <w:t>Organisation en procédure dégradée</w:t>
            </w:r>
            <w:r w:rsidRPr="00235AD1">
              <w:t xml:space="preserve"> (problématiques au niveau d'un ou plusieurs exutoires)</w:t>
            </w:r>
          </w:p>
        </w:tc>
        <w:tc>
          <w:tcPr>
            <w:tcW w:w="6656" w:type="dxa"/>
            <w:vAlign w:val="center"/>
          </w:tcPr>
          <w:p w14:paraId="3B43DF39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500944FC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23DFF535" w14:textId="7C907647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Installations de secours en cas de fermeture d'un ou des exutoires</w:t>
            </w:r>
          </w:p>
        </w:tc>
        <w:tc>
          <w:tcPr>
            <w:tcW w:w="6656" w:type="dxa"/>
            <w:vAlign w:val="center"/>
          </w:tcPr>
          <w:p w14:paraId="61CEA7D3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36AA0882" w14:textId="77777777" w:rsidR="006F4A44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4152BFC" w14:textId="20C22D44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f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07D68" w:rsidRPr="00707D68">
        <w:rPr>
          <w:rFonts w:eastAsia="Arial Unicode MS"/>
          <w:b/>
          <w:bCs/>
          <w:i/>
          <w:iCs/>
          <w:sz w:val="20"/>
          <w:szCs w:val="20"/>
          <w:u w:val="single"/>
        </w:rPr>
        <w:t>Moyens mis en œuvre pour assurer le suivi des prestations</w:t>
      </w:r>
      <w:r w:rsidR="00707D68"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2B452456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0C9D3073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168FBD27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35846B4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E97728" w14:paraId="15106C56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05586314" w14:textId="07388582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Profil du référent dédié au suivi des prestations</w:t>
            </w:r>
          </w:p>
        </w:tc>
        <w:tc>
          <w:tcPr>
            <w:tcW w:w="6656" w:type="dxa"/>
            <w:vAlign w:val="center"/>
          </w:tcPr>
          <w:p w14:paraId="2ADDABB1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61AD3468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3A3C48A8" w14:textId="77777777" w:rsidR="00E97728" w:rsidRDefault="00E97728" w:rsidP="00E97728">
            <w:pPr>
              <w:jc w:val="left"/>
              <w:rPr>
                <w:b/>
                <w:bCs/>
              </w:rPr>
            </w:pPr>
            <w:r w:rsidRPr="00E97728">
              <w:rPr>
                <w:b/>
                <w:bCs/>
              </w:rPr>
              <w:t xml:space="preserve">Modalités de suivi des valorisations des déchets et du rachat matière (documents fournis, etc.) </w:t>
            </w:r>
          </w:p>
          <w:p w14:paraId="3218DA36" w14:textId="35BC1552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>
              <w:t>(</w:t>
            </w:r>
            <w:proofErr w:type="gramStart"/>
            <w:r>
              <w:t>fournir</w:t>
            </w:r>
            <w:proofErr w:type="gramEnd"/>
            <w:r>
              <w:t xml:space="preserve"> un exemple)</w:t>
            </w:r>
          </w:p>
        </w:tc>
        <w:tc>
          <w:tcPr>
            <w:tcW w:w="6656" w:type="dxa"/>
            <w:vAlign w:val="center"/>
          </w:tcPr>
          <w:p w14:paraId="7E782194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205EB5E3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537FB8E4" w14:textId="77777777" w:rsidR="00E97728" w:rsidRDefault="00E97728" w:rsidP="00E97728">
            <w:pPr>
              <w:jc w:val="left"/>
              <w:rPr>
                <w:b/>
                <w:bCs/>
              </w:rPr>
            </w:pPr>
            <w:r w:rsidRPr="00E97728">
              <w:rPr>
                <w:b/>
                <w:bCs/>
              </w:rPr>
              <w:t>Qualité et pertinence des rapports proposés</w:t>
            </w:r>
          </w:p>
          <w:p w14:paraId="4CC06D8C" w14:textId="23EE236E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>
              <w:t>(</w:t>
            </w:r>
            <w:proofErr w:type="gramStart"/>
            <w:r>
              <w:t>fournir</w:t>
            </w:r>
            <w:proofErr w:type="gramEnd"/>
            <w:r>
              <w:t xml:space="preserve"> un exemple)</w:t>
            </w:r>
            <w:r w:rsidRPr="00E97728">
              <w:rPr>
                <w:b/>
                <w:bCs/>
              </w:rPr>
              <w:t xml:space="preserve"> </w:t>
            </w:r>
          </w:p>
        </w:tc>
        <w:tc>
          <w:tcPr>
            <w:tcW w:w="6656" w:type="dxa"/>
            <w:vAlign w:val="center"/>
          </w:tcPr>
          <w:p w14:paraId="0D375FB1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640CE803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36B4E335" w14:textId="260B7070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lastRenderedPageBreak/>
              <w:t xml:space="preserve">Qualité des ateliers proposés </w:t>
            </w:r>
          </w:p>
        </w:tc>
        <w:tc>
          <w:tcPr>
            <w:tcW w:w="6656" w:type="dxa"/>
            <w:vAlign w:val="center"/>
          </w:tcPr>
          <w:p w14:paraId="547D3FFE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395A4B30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540FAC85" w14:textId="360A16DD" w:rsidR="00E97728" w:rsidRPr="00E97728" w:rsidRDefault="00E97728" w:rsidP="00E97728">
            <w:pPr>
              <w:jc w:val="left"/>
              <w:rPr>
                <w:rFonts w:eastAsia="Arial Unicode MS"/>
                <w:b/>
                <w:bCs/>
              </w:rPr>
            </w:pPr>
            <w:r w:rsidRPr="00E97728">
              <w:rPr>
                <w:b/>
                <w:bCs/>
              </w:rPr>
              <w:t>Modalités de suivi des déchets</w:t>
            </w:r>
            <w:r w:rsidRPr="00E97728">
              <w:t xml:space="preserve"> </w:t>
            </w:r>
            <w:r w:rsidRPr="00E97728">
              <w:rPr>
                <w:b/>
                <w:bCs/>
              </w:rPr>
              <w:t>(documents fournis, outils, communication, fréquence d'envoi)</w:t>
            </w:r>
            <w:r w:rsidRPr="00E97728">
              <w:t xml:space="preserve"> article 4.9.3.2 du CCTP</w:t>
            </w:r>
          </w:p>
        </w:tc>
        <w:tc>
          <w:tcPr>
            <w:tcW w:w="6656" w:type="dxa"/>
            <w:vAlign w:val="center"/>
          </w:tcPr>
          <w:p w14:paraId="785A401B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E97728" w14:paraId="6F81783E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6F8485B3" w14:textId="77777777" w:rsidR="00E97728" w:rsidRDefault="00E97728" w:rsidP="00E97728">
            <w:pPr>
              <w:jc w:val="left"/>
              <w:rPr>
                <w:b/>
                <w:bCs/>
              </w:rPr>
            </w:pPr>
            <w:r w:rsidRPr="00E97728">
              <w:rPr>
                <w:b/>
                <w:bCs/>
              </w:rPr>
              <w:t xml:space="preserve">Outil extranet accessible au client : contenu de cet extranet et informations accessibles </w:t>
            </w:r>
          </w:p>
          <w:p w14:paraId="4BDD03CE" w14:textId="3B4884E7" w:rsidR="00E97728" w:rsidRPr="00E97728" w:rsidRDefault="00E97728" w:rsidP="00E97728">
            <w:pPr>
              <w:jc w:val="left"/>
              <w:rPr>
                <w:rFonts w:eastAsia="Arial Unicode MS"/>
              </w:rPr>
            </w:pPr>
            <w:r w:rsidRPr="00E97728">
              <w:t>(</w:t>
            </w:r>
            <w:proofErr w:type="gramStart"/>
            <w:r w:rsidRPr="00E97728">
              <w:t>fournir</w:t>
            </w:r>
            <w:proofErr w:type="gramEnd"/>
            <w:r w:rsidRPr="00E97728">
              <w:t xml:space="preserve"> un accès test. Celui-ci doit être sécurisé et ne présenté aucun virus)</w:t>
            </w:r>
          </w:p>
        </w:tc>
        <w:tc>
          <w:tcPr>
            <w:tcW w:w="6656" w:type="dxa"/>
            <w:vAlign w:val="center"/>
          </w:tcPr>
          <w:p w14:paraId="78E7CBC7" w14:textId="77777777" w:rsidR="00E97728" w:rsidRDefault="00E97728" w:rsidP="00E9772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5F7E385F" w14:textId="08456FC7" w:rsidR="009E0A85" w:rsidRDefault="009E0A85" w:rsidP="001A3687">
      <w:pPr>
        <w:rPr>
          <w:rFonts w:eastAsia="Arial Unicode MS"/>
        </w:rPr>
      </w:pPr>
    </w:p>
    <w:p w14:paraId="2576E926" w14:textId="77777777" w:rsidR="00707D68" w:rsidRDefault="00707D68" w:rsidP="006F4A44">
      <w:pPr>
        <w:rPr>
          <w:rFonts w:eastAsia="Arial Unicode MS"/>
          <w:b/>
          <w:bCs/>
          <w:sz w:val="22"/>
          <w:szCs w:val="22"/>
          <w:u w:val="single"/>
        </w:rPr>
        <w:sectPr w:rsidR="00707D68" w:rsidSect="007D3BB3">
          <w:pgSz w:w="11907" w:h="16840" w:code="9"/>
          <w:pgMar w:top="709" w:right="1418" w:bottom="1021" w:left="1418" w:header="720" w:footer="113" w:gutter="0"/>
          <w:cols w:space="720"/>
          <w:docGrid w:linePitch="272"/>
        </w:sectPr>
      </w:pPr>
      <w:bookmarkStart w:id="2" w:name="_Hlk194919161"/>
      <w:bookmarkStart w:id="3" w:name="_Hlk194919394"/>
    </w:p>
    <w:p w14:paraId="6A6A5E1E" w14:textId="42467EAF" w:rsidR="006F4A44" w:rsidRPr="000334B8" w:rsidRDefault="006F4A44" w:rsidP="006F4A4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durable de l’offre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>
        <w:rPr>
          <w:rFonts w:eastAsia="Arial Unicode MS"/>
          <w:b/>
          <w:bCs/>
          <w:sz w:val="22"/>
          <w:szCs w:val="22"/>
          <w:u w:val="single"/>
        </w:rPr>
        <w:t>10%)</w:t>
      </w:r>
    </w:p>
    <w:p w14:paraId="0DA988A2" w14:textId="77777777" w:rsidR="006F4A44" w:rsidRPr="006D03B6" w:rsidRDefault="006F4A44" w:rsidP="006F4A44">
      <w:pPr>
        <w:rPr>
          <w:rFonts w:eastAsia="Arial Unicode MS"/>
        </w:rPr>
      </w:pPr>
    </w:p>
    <w:p w14:paraId="3BEB5943" w14:textId="1852BABE" w:rsidR="006F4A44" w:rsidRDefault="006F4A44" w:rsidP="006F4A44">
      <w:pPr>
        <w:rPr>
          <w:rFonts w:eastAsia="Arial Unicode MS"/>
        </w:rPr>
      </w:pPr>
      <w:r w:rsidRPr="006D03B6">
        <w:rPr>
          <w:rFonts w:eastAsia="Arial Unicode MS"/>
        </w:rPr>
        <w:t>Ce critère se décompose en</w:t>
      </w:r>
      <w:r w:rsidR="00A227F7">
        <w:rPr>
          <w:rFonts w:eastAsia="Arial Unicode MS"/>
        </w:rPr>
        <w:t xml:space="preserve"> </w:t>
      </w:r>
      <w:r w:rsidR="00CD4BC6">
        <w:rPr>
          <w:rFonts w:eastAsia="Arial Unicode MS"/>
        </w:rPr>
        <w:t>trois</w:t>
      </w:r>
      <w:r w:rsidR="00A227F7">
        <w:rPr>
          <w:rFonts w:eastAsia="Arial Unicode MS"/>
        </w:rPr>
        <w:t xml:space="preserve"> </w:t>
      </w:r>
      <w:r w:rsidRPr="006D03B6">
        <w:rPr>
          <w:rFonts w:eastAsia="Arial Unicode MS"/>
        </w:rPr>
        <w:t xml:space="preserve">sous-critères, eux-mêmes divisés en différents </w:t>
      </w:r>
      <w:r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4ECC31D6" w14:textId="77777777" w:rsidR="006F4A44" w:rsidRPr="006D03B6" w:rsidRDefault="006F4A44" w:rsidP="006F4A44">
      <w:pPr>
        <w:rPr>
          <w:rFonts w:eastAsia="Arial Unicode MS"/>
        </w:rPr>
      </w:pPr>
    </w:p>
    <w:p w14:paraId="0AA0B80F" w14:textId="08947483" w:rsidR="006F4A44" w:rsidRPr="000334B8" w:rsidRDefault="006F4A44" w:rsidP="00CD4BC6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07D68" w:rsidRPr="00707D68">
        <w:rPr>
          <w:rFonts w:eastAsia="Arial Unicode MS"/>
          <w:b/>
          <w:bCs/>
          <w:i/>
          <w:iCs/>
          <w:sz w:val="20"/>
          <w:szCs w:val="20"/>
          <w:u w:val="single"/>
        </w:rPr>
        <w:t>Démarche environnementale dans le cadre de l'exécution des prestations</w:t>
      </w:r>
      <w:r w:rsidR="00707D6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CD4BC6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707D68">
        <w:rPr>
          <w:rFonts w:eastAsia="Arial Unicode MS"/>
          <w:b/>
          <w:bCs/>
          <w:i/>
          <w:iCs/>
          <w:sz w:val="20"/>
          <w:szCs w:val="20"/>
          <w:u w:val="single"/>
        </w:rPr>
        <w:t>70</w:t>
      </w:r>
      <w:r w:rsidR="00CD4BC6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52C1DEB5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1E890FD6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28995A0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33E0D18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707D68" w14:paraId="6F73E25E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0B314E7A" w14:textId="49E9EABB" w:rsidR="00707D68" w:rsidRPr="00707D68" w:rsidRDefault="00707D68" w:rsidP="00707D68">
            <w:pPr>
              <w:jc w:val="left"/>
              <w:rPr>
                <w:rFonts w:eastAsia="Arial Unicode MS"/>
                <w:b/>
                <w:bCs/>
              </w:rPr>
            </w:pPr>
            <w:r w:rsidRPr="00707D68">
              <w:rPr>
                <w:b/>
                <w:bCs/>
              </w:rPr>
              <w:t>Formation des agents affectés aux prestations à l'</w:t>
            </w:r>
            <w:proofErr w:type="spellStart"/>
            <w:r w:rsidRPr="00707D68">
              <w:rPr>
                <w:b/>
                <w:bCs/>
              </w:rPr>
              <w:t>éco-conduite</w:t>
            </w:r>
            <w:proofErr w:type="spellEnd"/>
          </w:p>
        </w:tc>
        <w:tc>
          <w:tcPr>
            <w:tcW w:w="6656" w:type="dxa"/>
            <w:vAlign w:val="center"/>
          </w:tcPr>
          <w:p w14:paraId="7D9C479A" w14:textId="77777777" w:rsidR="00707D68" w:rsidRDefault="00707D68" w:rsidP="00707D6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707D68" w14:paraId="287973B7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4BC02111" w14:textId="5857B3D2" w:rsidR="00707D68" w:rsidRPr="00707D68" w:rsidRDefault="00707D68" w:rsidP="00707D68">
            <w:pPr>
              <w:jc w:val="left"/>
              <w:rPr>
                <w:rFonts w:eastAsia="Arial Unicode MS"/>
                <w:b/>
                <w:bCs/>
              </w:rPr>
            </w:pPr>
            <w:r w:rsidRPr="00707D68">
              <w:rPr>
                <w:b/>
                <w:bCs/>
              </w:rPr>
              <w:t>Caractéristiques environnementales et âge des véhicules utilisés</w:t>
            </w:r>
          </w:p>
        </w:tc>
        <w:tc>
          <w:tcPr>
            <w:tcW w:w="6656" w:type="dxa"/>
            <w:vAlign w:val="center"/>
          </w:tcPr>
          <w:p w14:paraId="24C158D4" w14:textId="77777777" w:rsidR="00707D68" w:rsidRDefault="00707D68" w:rsidP="00707D6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707D68" w14:paraId="7B13BD10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37D388D0" w14:textId="36FB3CEE" w:rsidR="00707D68" w:rsidRPr="00707D68" w:rsidRDefault="00707D68" w:rsidP="00707D68">
            <w:pPr>
              <w:jc w:val="left"/>
              <w:rPr>
                <w:rFonts w:eastAsia="Arial Unicode MS"/>
                <w:b/>
                <w:bCs/>
              </w:rPr>
            </w:pPr>
            <w:r w:rsidRPr="00707D68">
              <w:rPr>
                <w:b/>
                <w:bCs/>
              </w:rPr>
              <w:t xml:space="preserve">Modalités de recyclage des matériels utilisés (fin de vie) </w:t>
            </w:r>
          </w:p>
        </w:tc>
        <w:tc>
          <w:tcPr>
            <w:tcW w:w="6656" w:type="dxa"/>
            <w:vAlign w:val="center"/>
          </w:tcPr>
          <w:p w14:paraId="49346BAE" w14:textId="77777777" w:rsidR="00707D68" w:rsidRDefault="00707D68" w:rsidP="00707D6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707D68" w14:paraId="540A6AA4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2E3F5570" w14:textId="172F6A8E" w:rsidR="00707D68" w:rsidRPr="00707D68" w:rsidRDefault="00707D68" w:rsidP="00707D68">
            <w:pPr>
              <w:jc w:val="left"/>
              <w:rPr>
                <w:rFonts w:eastAsia="Arial Unicode MS"/>
                <w:b/>
                <w:bCs/>
              </w:rPr>
            </w:pPr>
            <w:r w:rsidRPr="00707D68">
              <w:rPr>
                <w:b/>
                <w:bCs/>
              </w:rPr>
              <w:t>Modalités et technique de valorisation des déchets collectés selon les filières</w:t>
            </w:r>
          </w:p>
        </w:tc>
        <w:tc>
          <w:tcPr>
            <w:tcW w:w="6656" w:type="dxa"/>
            <w:vAlign w:val="center"/>
          </w:tcPr>
          <w:p w14:paraId="4EBD6CF9" w14:textId="77777777" w:rsidR="00707D68" w:rsidRDefault="00707D68" w:rsidP="00707D6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707D68" w14:paraId="106758A0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7B9D1091" w14:textId="11179677" w:rsidR="00707D68" w:rsidRPr="00707D68" w:rsidRDefault="00707D68" w:rsidP="00707D68">
            <w:pPr>
              <w:jc w:val="left"/>
              <w:rPr>
                <w:rFonts w:eastAsia="Arial Unicode MS"/>
                <w:b/>
                <w:bCs/>
              </w:rPr>
            </w:pPr>
            <w:r w:rsidRPr="00707D68">
              <w:rPr>
                <w:b/>
                <w:bCs/>
              </w:rPr>
              <w:t>Dispositions relatives à la réduction des nuisances sonores et olfactives</w:t>
            </w:r>
          </w:p>
        </w:tc>
        <w:tc>
          <w:tcPr>
            <w:tcW w:w="6656" w:type="dxa"/>
            <w:vAlign w:val="center"/>
          </w:tcPr>
          <w:p w14:paraId="5391834F" w14:textId="77777777" w:rsidR="00707D68" w:rsidRDefault="00707D68" w:rsidP="00707D68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630D392A" w14:textId="77777777" w:rsidR="00CD4BC6" w:rsidRDefault="00CD4BC6" w:rsidP="00CD4BC6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73BF02B" w14:textId="70FE4736" w:rsidR="00CD4BC6" w:rsidRPr="000334B8" w:rsidRDefault="00CD4BC6" w:rsidP="00CD4BC6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 w:rsidR="007F201B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07D68" w:rsidRPr="00707D68">
        <w:rPr>
          <w:rFonts w:eastAsia="Arial Unicode MS"/>
          <w:b/>
          <w:bCs/>
          <w:i/>
          <w:iCs/>
          <w:sz w:val="20"/>
          <w:szCs w:val="20"/>
          <w:u w:val="single"/>
        </w:rPr>
        <w:t>Démarche sociale dans le cadre de l'exécution des prestations</w:t>
      </w:r>
      <w:r w:rsidR="00707D6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(3</w:t>
      </w:r>
      <w:r w:rsidR="00707D68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317994F0" w14:textId="77777777" w:rsidR="00CD4BC6" w:rsidRDefault="00CD4BC6" w:rsidP="00CD4BC6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CD4BC6" w14:paraId="619D59D8" w14:textId="77777777" w:rsidTr="009D0183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0538392" w14:textId="77777777" w:rsidR="00CD4BC6" w:rsidRPr="008E7545" w:rsidRDefault="00CD4BC6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3EEB3D59" w14:textId="77777777" w:rsidR="00CD4BC6" w:rsidRPr="008E7545" w:rsidRDefault="00CD4BC6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CD4BC6" w14:paraId="7FACAFBF" w14:textId="77777777" w:rsidTr="001476EB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D2BD510" w14:textId="77777777" w:rsidR="00CD4BC6" w:rsidRPr="008E7545" w:rsidRDefault="00CD4BC6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Modalités de recyclage des contenants utilisés</w:t>
            </w:r>
          </w:p>
        </w:tc>
        <w:tc>
          <w:tcPr>
            <w:tcW w:w="6656" w:type="dxa"/>
            <w:vAlign w:val="center"/>
          </w:tcPr>
          <w:p w14:paraId="55999317" w14:textId="77777777" w:rsidR="00CD4BC6" w:rsidRDefault="00CD4BC6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CD4BC6" w14:paraId="330B6240" w14:textId="77777777" w:rsidTr="001476EB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EDF1CCA" w14:textId="77777777" w:rsidR="00CD4BC6" w:rsidRPr="008E7545" w:rsidRDefault="00CD4BC6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lastRenderedPageBreak/>
              <w:t>Modalités de valorisation des déchets</w:t>
            </w:r>
            <w:r>
              <w:rPr>
                <w:rFonts w:eastAsia="Arial Unicode MS"/>
                <w:b/>
                <w:bCs/>
              </w:rPr>
              <w:t xml:space="preserve"> </w:t>
            </w:r>
            <w:r w:rsidRPr="00A227F7">
              <w:rPr>
                <w:rFonts w:eastAsia="Arial Unicode MS"/>
                <w:b/>
                <w:bCs/>
              </w:rPr>
              <w:t>collectés</w:t>
            </w:r>
          </w:p>
        </w:tc>
        <w:tc>
          <w:tcPr>
            <w:tcW w:w="6656" w:type="dxa"/>
            <w:vAlign w:val="center"/>
          </w:tcPr>
          <w:p w14:paraId="70602229" w14:textId="77777777" w:rsidR="00CD4BC6" w:rsidRDefault="00CD4BC6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bookmarkEnd w:id="2"/>
    </w:tbl>
    <w:p w14:paraId="6ADDE1E8" w14:textId="0ADDA6C8" w:rsidR="009E0A85" w:rsidRDefault="009E0A85" w:rsidP="001A3687">
      <w:pPr>
        <w:rPr>
          <w:rFonts w:eastAsia="Arial Unicode MS"/>
        </w:rPr>
      </w:pPr>
    </w:p>
    <w:p w14:paraId="088BD73E" w14:textId="77777777" w:rsidR="001476EB" w:rsidRDefault="001476EB" w:rsidP="001A3687">
      <w:pPr>
        <w:rPr>
          <w:rFonts w:eastAsia="Arial Unicode M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05"/>
        <w:gridCol w:w="6656"/>
      </w:tblGrid>
      <w:tr w:rsidR="00BB5140" w:rsidRPr="00A227F7" w14:paraId="6BAF8EFE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3C654FC5" w14:textId="07B03549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Date :</w:t>
            </w:r>
          </w:p>
        </w:tc>
        <w:tc>
          <w:tcPr>
            <w:tcW w:w="3673" w:type="pct"/>
            <w:vAlign w:val="center"/>
          </w:tcPr>
          <w:p w14:paraId="15B213D5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B5140" w:rsidRPr="00A227F7" w14:paraId="3B0D299E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490DA474" w14:textId="46080561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NOM – Prénom</w:t>
            </w:r>
            <w:r w:rsidR="007264D9" w:rsidRPr="00A227F7">
              <w:rPr>
                <w:rFonts w:eastAsia="Arial Unicode MS"/>
                <w:b/>
                <w:bCs/>
                <w:color w:val="auto"/>
              </w:rPr>
              <w:t> :</w:t>
            </w:r>
          </w:p>
        </w:tc>
        <w:tc>
          <w:tcPr>
            <w:tcW w:w="3673" w:type="pct"/>
            <w:vAlign w:val="center"/>
          </w:tcPr>
          <w:p w14:paraId="2B6ACB7C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B5140" w:rsidRPr="00A227F7" w14:paraId="03639D7B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03025683" w14:textId="208FBB26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Nom de la société :</w:t>
            </w:r>
          </w:p>
        </w:tc>
        <w:tc>
          <w:tcPr>
            <w:tcW w:w="3673" w:type="pct"/>
            <w:vAlign w:val="center"/>
          </w:tcPr>
          <w:p w14:paraId="0BBD9757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B5140" w:rsidRPr="00A227F7" w14:paraId="295D59D1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1F9D3CFC" w14:textId="250E3355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Fonction</w:t>
            </w:r>
            <w:r w:rsidR="007264D9" w:rsidRPr="00A227F7">
              <w:rPr>
                <w:rFonts w:eastAsia="Arial Unicode MS"/>
                <w:b/>
                <w:bCs/>
                <w:color w:val="auto"/>
              </w:rPr>
              <w:t> :</w:t>
            </w:r>
          </w:p>
        </w:tc>
        <w:tc>
          <w:tcPr>
            <w:tcW w:w="3673" w:type="pct"/>
            <w:vAlign w:val="center"/>
          </w:tcPr>
          <w:p w14:paraId="6E395ACD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7264D9" w:rsidRPr="00A227F7" w14:paraId="2CA1B515" w14:textId="77777777" w:rsidTr="00A227F7">
        <w:trPr>
          <w:trHeight w:val="2372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340718D8" w14:textId="457C2BDA" w:rsidR="007264D9" w:rsidRPr="00A227F7" w:rsidRDefault="007264D9" w:rsidP="00A227F7">
            <w:pPr>
              <w:jc w:val="left"/>
              <w:rPr>
                <w:rFonts w:eastAsia="Arial Unicode MS"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 xml:space="preserve">Signature </w:t>
            </w:r>
            <w:r w:rsidR="00A227F7">
              <w:rPr>
                <w:rFonts w:eastAsia="Arial Unicode MS"/>
                <w:b/>
                <w:bCs/>
                <w:color w:val="auto"/>
              </w:rPr>
              <w:t>et c</w:t>
            </w:r>
            <w:r w:rsidRPr="00A227F7">
              <w:rPr>
                <w:rFonts w:eastAsia="Arial Unicode MS"/>
                <w:b/>
                <w:bCs/>
                <w:color w:val="auto"/>
              </w:rPr>
              <w:t>achet de la société</w:t>
            </w:r>
            <w:r w:rsidR="00A227F7">
              <w:rPr>
                <w:rFonts w:eastAsia="Arial Unicode MS"/>
                <w:b/>
                <w:bCs/>
                <w:color w:val="auto"/>
              </w:rPr>
              <w:t> :</w:t>
            </w:r>
          </w:p>
        </w:tc>
        <w:tc>
          <w:tcPr>
            <w:tcW w:w="3673" w:type="pct"/>
            <w:vAlign w:val="center"/>
          </w:tcPr>
          <w:p w14:paraId="0F50DFAD" w14:textId="77777777" w:rsidR="007264D9" w:rsidRPr="00A227F7" w:rsidRDefault="007264D9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bookmarkEnd w:id="3"/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D3BB3">
      <w:pgSz w:w="11907" w:h="16840" w:code="9"/>
      <w:pgMar w:top="709" w:right="1418" w:bottom="1021" w:left="1418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0"/>
      <w:gridCol w:w="6530"/>
      <w:gridCol w:w="985"/>
    </w:tblGrid>
    <w:tr w:rsidR="001E6750" w:rsidRPr="00892D25" w14:paraId="2E2EBF70" w14:textId="77777777" w:rsidTr="006C6346">
      <w:trPr>
        <w:trHeight w:val="412"/>
        <w:jc w:val="center"/>
      </w:trPr>
      <w:tc>
        <w:tcPr>
          <w:tcW w:w="850" w:type="pct"/>
          <w:vAlign w:val="center"/>
        </w:tcPr>
        <w:p w14:paraId="67D25B6C" w14:textId="77777777" w:rsidR="001E6750" w:rsidRPr="00892D25" w:rsidRDefault="001E6750" w:rsidP="001E6750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3606" w:type="pct"/>
          <w:vAlign w:val="center"/>
        </w:tcPr>
        <w:p w14:paraId="0C0A1BC0" w14:textId="77777777" w:rsidR="001E6750" w:rsidRPr="00892D25" w:rsidRDefault="001E6750" w:rsidP="001E6750">
          <w:pPr>
            <w:pStyle w:val="Pieddepage"/>
            <w:jc w:val="center"/>
          </w:pPr>
          <w:r w:rsidRPr="00892D25">
            <w:t xml:space="preserve">Consultation n° </w:t>
          </w:r>
          <w:r>
            <w:t>25-049 (DASRI – Lots 01 à 03)</w:t>
          </w:r>
        </w:p>
      </w:tc>
      <w:tc>
        <w:tcPr>
          <w:tcW w:w="544" w:type="pct"/>
          <w:vAlign w:val="center"/>
        </w:tcPr>
        <w:p w14:paraId="7AD73C3C" w14:textId="77777777" w:rsidR="001E6750" w:rsidRPr="00892D25" w:rsidRDefault="001E6750" w:rsidP="001E6750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1E6750" w:rsidRPr="00892D25" w14:paraId="73F3CBEE" w14:textId="77777777" w:rsidTr="006C6346">
      <w:trPr>
        <w:trHeight w:val="282"/>
        <w:jc w:val="center"/>
      </w:trPr>
      <w:tc>
        <w:tcPr>
          <w:tcW w:w="850" w:type="pct"/>
          <w:vAlign w:val="center"/>
        </w:tcPr>
        <w:p w14:paraId="5272E60E" w14:textId="77777777" w:rsidR="001E6750" w:rsidRDefault="001E6750" w:rsidP="001E6750">
          <w:pPr>
            <w:pStyle w:val="Pieddepage"/>
            <w:jc w:val="center"/>
          </w:pPr>
          <w:r>
            <w:t>CCTP Annexe 4</w:t>
          </w:r>
        </w:p>
        <w:p w14:paraId="1CF09409" w14:textId="77777777" w:rsidR="001E6750" w:rsidRPr="00892D25" w:rsidRDefault="001E6750" w:rsidP="001E6750">
          <w:pPr>
            <w:pStyle w:val="Pieddepage"/>
            <w:jc w:val="center"/>
          </w:pPr>
          <w:r>
            <w:t>CRT</w:t>
          </w:r>
        </w:p>
      </w:tc>
      <w:tc>
        <w:tcPr>
          <w:tcW w:w="3606" w:type="pct"/>
          <w:vAlign w:val="center"/>
        </w:tcPr>
        <w:p w14:paraId="546BD4CA" w14:textId="73A77B09" w:rsidR="001E6750" w:rsidRPr="00892D25" w:rsidRDefault="001E6750" w:rsidP="001E6750">
          <w:pPr>
            <w:pStyle w:val="Pieddepage"/>
            <w:jc w:val="center"/>
          </w:pPr>
          <w:r w:rsidRPr="00892D25">
            <w:t xml:space="preserve">Dernière mise à jour du : </w:t>
          </w:r>
          <w:r w:rsidR="00FF4C0D">
            <w:t>1</w:t>
          </w:r>
          <w:r w:rsidR="001476EB">
            <w:t>7/04</w:t>
          </w:r>
          <w:r>
            <w:t>/2025</w:t>
          </w:r>
        </w:p>
      </w:tc>
      <w:tc>
        <w:tcPr>
          <w:tcW w:w="544" w:type="pct"/>
          <w:vAlign w:val="center"/>
        </w:tcPr>
        <w:p w14:paraId="47CF3A13" w14:textId="77777777" w:rsidR="001E6750" w:rsidRPr="00892D25" w:rsidRDefault="001E6750" w:rsidP="001E6750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53FB" w14:textId="5C8006DE" w:rsidR="007D3BB3" w:rsidRDefault="007D3BB3">
    <w:pPr>
      <w:pStyle w:val="Pieddepage"/>
    </w:pPr>
  </w:p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0"/>
      <w:gridCol w:w="6530"/>
      <w:gridCol w:w="985"/>
    </w:tblGrid>
    <w:tr w:rsidR="007D3BB3" w:rsidRPr="00892D25" w14:paraId="6CC1CF6C" w14:textId="77777777" w:rsidTr="006C6346">
      <w:trPr>
        <w:trHeight w:val="412"/>
        <w:jc w:val="center"/>
      </w:trPr>
      <w:tc>
        <w:tcPr>
          <w:tcW w:w="850" w:type="pct"/>
          <w:vAlign w:val="center"/>
        </w:tcPr>
        <w:p w14:paraId="39989BA6" w14:textId="77777777" w:rsidR="007D3BB3" w:rsidRPr="00892D25" w:rsidRDefault="007D3BB3" w:rsidP="007D3BB3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3606" w:type="pct"/>
          <w:vAlign w:val="center"/>
        </w:tcPr>
        <w:p w14:paraId="2E9806BF" w14:textId="5D3702E1" w:rsidR="007D3BB3" w:rsidRPr="00892D25" w:rsidRDefault="007D3BB3" w:rsidP="007D3BB3">
          <w:pPr>
            <w:pStyle w:val="Pieddepage"/>
            <w:jc w:val="center"/>
          </w:pPr>
          <w:r w:rsidRPr="00892D25">
            <w:t xml:space="preserve">Consultation n° </w:t>
          </w:r>
          <w:r>
            <w:t>25-</w:t>
          </w:r>
          <w:r w:rsidR="00E97728">
            <w:t>062</w:t>
          </w:r>
        </w:p>
      </w:tc>
      <w:tc>
        <w:tcPr>
          <w:tcW w:w="544" w:type="pct"/>
          <w:vAlign w:val="center"/>
        </w:tcPr>
        <w:p w14:paraId="1947A641" w14:textId="77777777" w:rsidR="007D3BB3" w:rsidRPr="00892D25" w:rsidRDefault="007D3BB3" w:rsidP="007D3BB3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7D3BB3" w:rsidRPr="00892D25" w14:paraId="34C5BAE7" w14:textId="77777777" w:rsidTr="006C6346">
      <w:trPr>
        <w:trHeight w:val="282"/>
        <w:jc w:val="center"/>
      </w:trPr>
      <w:tc>
        <w:tcPr>
          <w:tcW w:w="850" w:type="pct"/>
          <w:vAlign w:val="center"/>
        </w:tcPr>
        <w:p w14:paraId="74763FA4" w14:textId="77777777" w:rsidR="007D3BB3" w:rsidRDefault="007D3BB3" w:rsidP="007D3BB3">
          <w:pPr>
            <w:pStyle w:val="Pieddepage"/>
            <w:jc w:val="center"/>
          </w:pPr>
          <w:r>
            <w:t>CCTP Annexe 4</w:t>
          </w:r>
        </w:p>
        <w:p w14:paraId="3126BD19" w14:textId="7C2F9DB7" w:rsidR="007D3BB3" w:rsidRPr="00892D25" w:rsidRDefault="007D3BB3" w:rsidP="007D3BB3">
          <w:pPr>
            <w:pStyle w:val="Pieddepage"/>
            <w:jc w:val="center"/>
          </w:pPr>
          <w:r>
            <w:t>CRT</w:t>
          </w:r>
        </w:p>
      </w:tc>
      <w:tc>
        <w:tcPr>
          <w:tcW w:w="3606" w:type="pct"/>
          <w:vAlign w:val="center"/>
        </w:tcPr>
        <w:p w14:paraId="36313B41" w14:textId="4006892B" w:rsidR="007D3BB3" w:rsidRPr="00892D25" w:rsidRDefault="007D3BB3" w:rsidP="007D3BB3">
          <w:pPr>
            <w:pStyle w:val="Pieddepage"/>
            <w:jc w:val="center"/>
          </w:pPr>
          <w:r w:rsidRPr="00892D25">
            <w:t xml:space="preserve">Dernière mise à jour du : </w:t>
          </w:r>
          <w:r>
            <w:t>1</w:t>
          </w:r>
          <w:r w:rsidR="00087100">
            <w:t>8</w:t>
          </w:r>
          <w:r>
            <w:t>/0</w:t>
          </w:r>
          <w:r w:rsidR="00E97728">
            <w:t>6</w:t>
          </w:r>
          <w:r>
            <w:t>/2025</w:t>
          </w:r>
        </w:p>
      </w:tc>
      <w:tc>
        <w:tcPr>
          <w:tcW w:w="544" w:type="pct"/>
          <w:vAlign w:val="center"/>
        </w:tcPr>
        <w:p w14:paraId="19BAF7EB" w14:textId="77777777" w:rsidR="007D3BB3" w:rsidRPr="00892D25" w:rsidRDefault="007D3BB3" w:rsidP="007D3BB3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1284748B" w14:textId="5B0EA941" w:rsidR="007D3BB3" w:rsidRDefault="007D3BB3">
    <w:pPr>
      <w:pStyle w:val="Pieddepage"/>
    </w:pPr>
  </w:p>
  <w:p w14:paraId="4047834A" w14:textId="77777777" w:rsidR="007D3BB3" w:rsidRDefault="007D3B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C68EBAD0"/>
    <w:lvl w:ilvl="0">
      <w:start w:val="4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12306"/>
    <w:rsid w:val="00087100"/>
    <w:rsid w:val="001454C0"/>
    <w:rsid w:val="001476EB"/>
    <w:rsid w:val="001944F6"/>
    <w:rsid w:val="001A3687"/>
    <w:rsid w:val="001D3140"/>
    <w:rsid w:val="001E6750"/>
    <w:rsid w:val="00203E19"/>
    <w:rsid w:val="002064D0"/>
    <w:rsid w:val="002B2883"/>
    <w:rsid w:val="002C0B21"/>
    <w:rsid w:val="00352FE4"/>
    <w:rsid w:val="003603B2"/>
    <w:rsid w:val="00364158"/>
    <w:rsid w:val="003F337F"/>
    <w:rsid w:val="0047174A"/>
    <w:rsid w:val="004C5909"/>
    <w:rsid w:val="004D36EB"/>
    <w:rsid w:val="00540044"/>
    <w:rsid w:val="005D3C24"/>
    <w:rsid w:val="006D0BA7"/>
    <w:rsid w:val="006F4A44"/>
    <w:rsid w:val="00707D68"/>
    <w:rsid w:val="00712A2F"/>
    <w:rsid w:val="007264D9"/>
    <w:rsid w:val="007343AD"/>
    <w:rsid w:val="00741700"/>
    <w:rsid w:val="007643A1"/>
    <w:rsid w:val="007D3BB3"/>
    <w:rsid w:val="007F201B"/>
    <w:rsid w:val="0080409B"/>
    <w:rsid w:val="00815F5A"/>
    <w:rsid w:val="008C5DB4"/>
    <w:rsid w:val="008D4FAE"/>
    <w:rsid w:val="008E7545"/>
    <w:rsid w:val="00907881"/>
    <w:rsid w:val="009B201E"/>
    <w:rsid w:val="009E0A85"/>
    <w:rsid w:val="00A05A21"/>
    <w:rsid w:val="00A227F7"/>
    <w:rsid w:val="00A4495F"/>
    <w:rsid w:val="00AD3870"/>
    <w:rsid w:val="00BB5140"/>
    <w:rsid w:val="00BB5340"/>
    <w:rsid w:val="00C05D06"/>
    <w:rsid w:val="00C47DB7"/>
    <w:rsid w:val="00C51AC9"/>
    <w:rsid w:val="00C9104C"/>
    <w:rsid w:val="00CC0124"/>
    <w:rsid w:val="00CD4BC6"/>
    <w:rsid w:val="00CF57CD"/>
    <w:rsid w:val="00D75237"/>
    <w:rsid w:val="00DA61EB"/>
    <w:rsid w:val="00E74569"/>
    <w:rsid w:val="00E85A6D"/>
    <w:rsid w:val="00E9689D"/>
    <w:rsid w:val="00E97728"/>
    <w:rsid w:val="00EB7C14"/>
    <w:rsid w:val="00EE5FE4"/>
    <w:rsid w:val="00F32A47"/>
    <w:rsid w:val="00F32E01"/>
    <w:rsid w:val="00F51942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2E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2E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2E01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2E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2E01"/>
    <w:rPr>
      <w:rFonts w:ascii="Open Sans" w:eastAsia="Times New Roman" w:hAnsi="Open Sans" w:cs="Open Sans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DB08F2-048B-41F1-A1B2-FE1EF02D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987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DANIS-VALENTE Aurore</cp:lastModifiedBy>
  <cp:revision>8</cp:revision>
  <cp:lastPrinted>2025-06-13T12:24:00Z</cp:lastPrinted>
  <dcterms:created xsi:type="dcterms:W3CDTF">2025-04-18T07:42:00Z</dcterms:created>
  <dcterms:modified xsi:type="dcterms:W3CDTF">2025-06-25T12:01:00Z</dcterms:modified>
</cp:coreProperties>
</file>